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FA" w:rsidRPr="00634BBC" w:rsidRDefault="00F735FA" w:rsidP="00F735FA">
      <w:pPr>
        <w:pStyle w:val="Ttulo2"/>
      </w:pPr>
      <w:bookmarkStart w:id="0" w:name="_Toc530740007"/>
      <w:bookmarkStart w:id="1" w:name="_Toc532816941"/>
      <w:bookmarkStart w:id="2" w:name="_GoBack"/>
      <w:r w:rsidRPr="00634BBC">
        <w:t>Modelo 14. Resolución de denegación art.15 (protección de datos personales).</w:t>
      </w:r>
      <w:bookmarkEnd w:id="0"/>
      <w:bookmarkEnd w:id="1"/>
    </w:p>
    <w:bookmarkEnd w:id="2"/>
    <w:p w:rsidR="00F735FA" w:rsidRPr="00634BBC" w:rsidRDefault="00F735FA" w:rsidP="00F735FA">
      <w:pPr>
        <w:spacing w:before="120" w:after="120"/>
        <w:jc w:val="both"/>
        <w:rPr>
          <w:sz w:val="22"/>
          <w:szCs w:val="22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color w:val="2E74B5" w:themeColor="accent1" w:themeShade="BF"/>
          <w:sz w:val="22"/>
          <w:szCs w:val="22"/>
          <w:lang w:val="es-ES"/>
        </w:rPr>
      </w:pPr>
      <w:r w:rsidRPr="00634BBC">
        <w:rPr>
          <w:rFonts w:cs="Calibri"/>
          <w:b/>
          <w:bCs/>
          <w:color w:val="2E74B5" w:themeColor="accent1" w:themeShade="BF"/>
          <w:sz w:val="22"/>
          <w:szCs w:val="22"/>
          <w:lang w:val="es-ES" w:eastAsia="es-ES"/>
        </w:rPr>
        <w:t xml:space="preserve">ORDEN DE LA CONSEJERÍA DE </w:t>
      </w:r>
      <w:proofErr w:type="gramStart"/>
      <w:r w:rsidRPr="00634BBC">
        <w:rPr>
          <w:rFonts w:cs="Calibri"/>
          <w:b/>
          <w:bCs/>
          <w:color w:val="2E74B5" w:themeColor="accent1" w:themeShade="BF"/>
          <w:sz w:val="22"/>
          <w:szCs w:val="22"/>
          <w:lang w:val="es-ES" w:eastAsia="es-ES"/>
        </w:rPr>
        <w:t>-------------------------  POR</w:t>
      </w:r>
      <w:proofErr w:type="gramEnd"/>
      <w:r w:rsidRPr="00634BBC">
        <w:rPr>
          <w:rFonts w:cs="Calibri"/>
          <w:b/>
          <w:bCs/>
          <w:color w:val="2E74B5" w:themeColor="accent1" w:themeShade="BF"/>
          <w:sz w:val="22"/>
          <w:szCs w:val="22"/>
          <w:lang w:val="es-ES" w:eastAsia="es-ES"/>
        </w:rPr>
        <w:t xml:space="preserve"> LA QUE SE DENIEGA LA SOLICITUD DE DERECHO DE ACCESO FORMULADA POR D.-------------------</w:t>
      </w: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</w:p>
    <w:p w:rsidR="00F735FA" w:rsidRPr="00634BBC" w:rsidRDefault="00F735FA" w:rsidP="00F735FA">
      <w:pPr>
        <w:widowControl w:val="0"/>
        <w:spacing w:before="120" w:after="120"/>
        <w:jc w:val="center"/>
        <w:rPr>
          <w:rFonts w:cs="Calibri"/>
          <w:b/>
          <w:sz w:val="22"/>
          <w:szCs w:val="22"/>
          <w:lang w:val="es-ES"/>
        </w:rPr>
      </w:pPr>
      <w:r w:rsidRPr="00634BBC">
        <w:rPr>
          <w:rFonts w:cs="Calibri"/>
          <w:b/>
          <w:sz w:val="22"/>
          <w:szCs w:val="22"/>
          <w:lang w:val="es-ES"/>
        </w:rPr>
        <w:t>ANTECEDENTES DE HECHO</w:t>
      </w: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  <w:r w:rsidRPr="00634BBC">
        <w:rPr>
          <w:rFonts w:cs="Calibri"/>
          <w:sz w:val="22"/>
          <w:szCs w:val="22"/>
          <w:lang w:val="es-ES"/>
        </w:rPr>
        <w:t xml:space="preserve">Con fecha </w:t>
      </w:r>
      <w:r w:rsidRPr="00634BBC">
        <w:rPr>
          <w:rFonts w:cs="Calibri"/>
          <w:color w:val="00B0F0"/>
          <w:sz w:val="22"/>
          <w:szCs w:val="22"/>
          <w:lang w:val="es-ES"/>
        </w:rPr>
        <w:t xml:space="preserve">-- de ---- </w:t>
      </w:r>
      <w:proofErr w:type="spellStart"/>
      <w:r w:rsidRPr="00634BBC">
        <w:rPr>
          <w:rFonts w:cs="Calibri"/>
          <w:color w:val="00B0F0"/>
          <w:sz w:val="22"/>
          <w:szCs w:val="22"/>
          <w:lang w:val="es-ES"/>
        </w:rPr>
        <w:t>de</w:t>
      </w:r>
      <w:proofErr w:type="spellEnd"/>
      <w:r w:rsidRPr="00634BBC">
        <w:rPr>
          <w:rFonts w:cs="Calibri"/>
          <w:color w:val="00B0F0"/>
          <w:sz w:val="22"/>
          <w:szCs w:val="22"/>
          <w:lang w:val="es-ES"/>
        </w:rPr>
        <w:t xml:space="preserve"> </w:t>
      </w:r>
      <w:proofErr w:type="spellStart"/>
      <w:r w:rsidRPr="00634BBC">
        <w:rPr>
          <w:rFonts w:cs="Calibri"/>
          <w:color w:val="00B0F0"/>
          <w:sz w:val="22"/>
          <w:szCs w:val="22"/>
          <w:lang w:val="es-ES"/>
        </w:rPr>
        <w:t>xxxx</w:t>
      </w:r>
      <w:proofErr w:type="spellEnd"/>
      <w:r w:rsidRPr="00634BBC">
        <w:rPr>
          <w:rFonts w:cs="Calibri"/>
          <w:color w:val="00B0F0"/>
          <w:sz w:val="22"/>
          <w:szCs w:val="22"/>
          <w:lang w:val="es-ES"/>
        </w:rPr>
        <w:t xml:space="preserve">, </w:t>
      </w:r>
      <w:r w:rsidRPr="00634BBC">
        <w:rPr>
          <w:rFonts w:cs="Calibri"/>
          <w:sz w:val="22"/>
          <w:szCs w:val="22"/>
          <w:lang w:val="es-ES"/>
        </w:rPr>
        <w:t>ha tenido entrada en</w:t>
      </w: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 el registro electrónico de esta Comunidad Autónoma</w:t>
      </w:r>
      <w:r w:rsidRPr="00634BBC">
        <w:rPr>
          <w:rFonts w:cs="Calibri"/>
          <w:sz w:val="22"/>
          <w:szCs w:val="22"/>
          <w:lang w:val="es-ES"/>
        </w:rPr>
        <w:t xml:space="preserve"> solicitud de acceso a la información pública al amparo de la Ley 12/2014, de 16 de diciembre, de Transparencia y Participación Ciudadana de la Comunidad Autónoma de la Región de Murcia, presentada por D.</w:t>
      </w:r>
      <w:r w:rsidRPr="00634BBC">
        <w:rPr>
          <w:rFonts w:cs="Calibri"/>
          <w:color w:val="00B0F0"/>
          <w:sz w:val="22"/>
          <w:szCs w:val="22"/>
          <w:lang w:val="es-ES"/>
        </w:rPr>
        <w:t>--------------</w:t>
      </w:r>
      <w:r w:rsidRPr="00634BBC">
        <w:rPr>
          <w:rFonts w:cs="Calibri"/>
          <w:sz w:val="22"/>
          <w:szCs w:val="22"/>
          <w:lang w:val="es-ES"/>
        </w:rPr>
        <w:t xml:space="preserve">, con número de registro </w:t>
      </w:r>
      <w:r w:rsidRPr="00634BBC">
        <w:rPr>
          <w:rFonts w:cs="Calibri"/>
          <w:color w:val="00B0F0"/>
          <w:sz w:val="22"/>
          <w:szCs w:val="22"/>
          <w:lang w:val="es-ES"/>
        </w:rPr>
        <w:t>----------------------</w:t>
      </w:r>
      <w:r w:rsidRPr="00634BBC">
        <w:rPr>
          <w:rFonts w:cs="Calibri"/>
          <w:sz w:val="22"/>
          <w:szCs w:val="22"/>
          <w:lang w:val="es-ES"/>
        </w:rPr>
        <w:t xml:space="preserve">, en la que solicita información sobre </w:t>
      </w:r>
      <w:r w:rsidRPr="00634BBC">
        <w:rPr>
          <w:rFonts w:cs="Calibri"/>
          <w:color w:val="00B0F0"/>
          <w:sz w:val="22"/>
          <w:szCs w:val="22"/>
          <w:lang w:val="es-ES"/>
        </w:rPr>
        <w:t>--------------------------</w:t>
      </w:r>
      <w:r w:rsidRPr="00634BBC">
        <w:rPr>
          <w:rFonts w:cs="Calibri"/>
          <w:sz w:val="22"/>
          <w:szCs w:val="22"/>
          <w:lang w:val="es-ES"/>
        </w:rPr>
        <w:t>.</w:t>
      </w: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color w:val="002060"/>
          <w:sz w:val="22"/>
          <w:szCs w:val="22"/>
          <w:lang w:val="es-ES"/>
        </w:rPr>
      </w:pPr>
      <w:r w:rsidRPr="00634BBC">
        <w:rPr>
          <w:rFonts w:cs="Calibri"/>
          <w:color w:val="002060"/>
          <w:sz w:val="22"/>
          <w:szCs w:val="22"/>
          <w:lang w:val="es-ES"/>
        </w:rPr>
        <w:t>Explicar, en su caso, los pormenores de tramitación que haya sufrido el procedimiento: si ha habido requerimiento de subsanación (y cuando y como lo cumplimentó el interesado), trámite de audiencia (indicando si se presentaron o no alegaciones y lo que estas decían, en su caso) etc.</w:t>
      </w:r>
      <w:proofErr w:type="gramStart"/>
      <w:r w:rsidRPr="00634BBC">
        <w:rPr>
          <w:rFonts w:cs="Calibri"/>
          <w:color w:val="002060"/>
          <w:sz w:val="22"/>
          <w:szCs w:val="22"/>
          <w:lang w:val="es-ES"/>
        </w:rPr>
        <w:t>….</w:t>
      </w:r>
      <w:proofErr w:type="gramEnd"/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</w:p>
    <w:p w:rsidR="00F735FA" w:rsidRPr="00634BBC" w:rsidRDefault="00F735FA" w:rsidP="00F735FA">
      <w:pPr>
        <w:widowControl w:val="0"/>
        <w:spacing w:before="120" w:after="120"/>
        <w:jc w:val="center"/>
        <w:rPr>
          <w:rFonts w:cs="Calibri"/>
          <w:b/>
          <w:sz w:val="22"/>
          <w:szCs w:val="22"/>
          <w:lang w:val="es-ES"/>
        </w:rPr>
      </w:pPr>
      <w:r w:rsidRPr="00634BBC">
        <w:rPr>
          <w:rFonts w:cs="Calibri"/>
          <w:b/>
          <w:sz w:val="22"/>
          <w:szCs w:val="22"/>
          <w:lang w:val="es-ES"/>
        </w:rPr>
        <w:t>FUNDAMENTOS DE DERECHO</w:t>
      </w: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  <w:r w:rsidRPr="00634BBC">
        <w:rPr>
          <w:rFonts w:cs="Calibri"/>
          <w:sz w:val="22"/>
          <w:szCs w:val="22"/>
          <w:lang w:val="es-ES"/>
        </w:rPr>
        <w:t>Primero.- Competencia.</w:t>
      </w: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  <w:r w:rsidRPr="00634BBC">
        <w:rPr>
          <w:rFonts w:cs="Calibri"/>
          <w:sz w:val="22"/>
          <w:szCs w:val="22"/>
          <w:lang w:val="es-ES"/>
        </w:rPr>
        <w:t>Que cada cual explique por qué es competente para resolver la solicitud de acceso a la información de que se trate.</w:t>
      </w: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  <w:r w:rsidRPr="00634BBC">
        <w:rPr>
          <w:rFonts w:cs="Calibri"/>
          <w:sz w:val="22"/>
          <w:szCs w:val="22"/>
          <w:lang w:val="es-ES"/>
        </w:rPr>
        <w:t xml:space="preserve">Segundo.- </w:t>
      </w:r>
    </w:p>
    <w:p w:rsidR="00F735FA" w:rsidRPr="00634BBC" w:rsidRDefault="00F735FA" w:rsidP="00F735FA">
      <w:pPr>
        <w:widowControl w:val="0"/>
        <w:spacing w:before="120" w:after="120"/>
        <w:jc w:val="center"/>
        <w:rPr>
          <w:rFonts w:cs="Calibri"/>
          <w:sz w:val="22"/>
          <w:szCs w:val="22"/>
          <w:u w:val="single"/>
          <w:lang w:val="es-ES"/>
        </w:rPr>
      </w:pPr>
    </w:p>
    <w:p w:rsidR="00F735FA" w:rsidRPr="00634BBC" w:rsidRDefault="00F735FA" w:rsidP="00F735FA">
      <w:pPr>
        <w:widowControl w:val="0"/>
        <w:spacing w:before="120" w:after="120"/>
        <w:jc w:val="center"/>
        <w:rPr>
          <w:rFonts w:cs="Calibri"/>
          <w:sz w:val="22"/>
          <w:szCs w:val="22"/>
          <w:u w:val="single"/>
          <w:lang w:val="es-ES"/>
        </w:rPr>
      </w:pPr>
      <w:r w:rsidRPr="00634BBC">
        <w:rPr>
          <w:rFonts w:cs="Calibri"/>
          <w:sz w:val="22"/>
          <w:szCs w:val="22"/>
          <w:u w:val="single"/>
          <w:lang w:val="es-ES"/>
        </w:rPr>
        <w:t>OPCIÓN A) Datos no especialmente protegidos (15.3 LTGB)</w:t>
      </w: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El artículo </w:t>
      </w:r>
      <w:r w:rsidRPr="00634BBC">
        <w:rPr>
          <w:rFonts w:cs="Calibri"/>
          <w:b/>
          <w:color w:val="000000"/>
          <w:sz w:val="22"/>
          <w:szCs w:val="22"/>
          <w:lang w:val="es-ES" w:eastAsia="es-ES"/>
        </w:rPr>
        <w:t>15.3</w:t>
      </w: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 </w:t>
      </w:r>
      <w:r w:rsidRPr="00634BBC">
        <w:rPr>
          <w:rFonts w:cs="Calibri"/>
          <w:sz w:val="22"/>
          <w:szCs w:val="22"/>
          <w:lang w:val="es-ES"/>
        </w:rPr>
        <w:t xml:space="preserve">de la Ley 19/2013, de 9 de diciembre, de transparencia, acceso a la información pública y buen gobierno, estipula que </w:t>
      </w: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cuando la información solicitada no contuviera datos especialmente protegidos, la concesión o denegación del acceso a la información solicitada deberá decidirse mediante la ponderación –suficientemente razonada– del interés público en la divulgación de la información y los derechos de los afectados cuyos datos aparezcan en la información solicitada, en particular su derecho fundamental a la protección de datos de carácter personal. </w:t>
      </w: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Efectuada la referida ponderación, se concluye que prima el derecho del/los afectado/s a la protección de sus datos de carácter personal, aunque no se trate de categorías especiales de datos, porque… </w:t>
      </w:r>
      <w:r w:rsidRPr="00634BBC">
        <w:rPr>
          <w:rFonts w:cs="Calibri"/>
          <w:color w:val="1F3864" w:themeColor="accent5" w:themeShade="80"/>
          <w:sz w:val="22"/>
          <w:szCs w:val="22"/>
          <w:lang w:val="es-ES" w:eastAsia="es-ES"/>
        </w:rPr>
        <w:t>(Motivar de forma adecuada, razonada y suficiente)</w:t>
      </w:r>
      <w:r w:rsidRPr="00634BBC">
        <w:rPr>
          <w:rFonts w:cs="Calibri"/>
          <w:color w:val="000000"/>
          <w:sz w:val="22"/>
          <w:szCs w:val="22"/>
          <w:lang w:val="es-ES" w:eastAsia="es-ES"/>
        </w:rPr>
        <w:t>.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center"/>
        <w:rPr>
          <w:rFonts w:cs="Calibri"/>
          <w:color w:val="000000"/>
          <w:sz w:val="22"/>
          <w:szCs w:val="22"/>
          <w:u w:val="single"/>
          <w:lang w:val="es-ES" w:eastAsia="es-ES"/>
        </w:rPr>
      </w:pPr>
      <w:r w:rsidRPr="00634BBC">
        <w:rPr>
          <w:rFonts w:cs="Calibri"/>
          <w:color w:val="000000"/>
          <w:sz w:val="22"/>
          <w:szCs w:val="22"/>
          <w:u w:val="single"/>
          <w:lang w:val="es-ES" w:eastAsia="es-ES"/>
        </w:rPr>
        <w:t xml:space="preserve">OPCIÓN B) </w:t>
      </w:r>
      <w:r>
        <w:rPr>
          <w:rFonts w:cs="Calibri"/>
          <w:color w:val="000000"/>
          <w:sz w:val="22"/>
          <w:szCs w:val="22"/>
          <w:u w:val="single"/>
          <w:lang w:val="es-ES" w:eastAsia="es-ES"/>
        </w:rPr>
        <w:t xml:space="preserve">Categorías especiales de datos </w:t>
      </w:r>
      <w:r w:rsidRPr="00634BBC">
        <w:rPr>
          <w:rFonts w:cs="Calibri"/>
          <w:color w:val="000000"/>
          <w:sz w:val="22"/>
          <w:szCs w:val="22"/>
          <w:u w:val="single"/>
          <w:lang w:val="es-ES" w:eastAsia="es-ES"/>
        </w:rPr>
        <w:t xml:space="preserve">del art </w:t>
      </w:r>
      <w:r>
        <w:rPr>
          <w:rFonts w:cs="Calibri"/>
          <w:color w:val="000000"/>
          <w:sz w:val="22"/>
          <w:szCs w:val="22"/>
          <w:u w:val="single"/>
          <w:lang w:val="es-ES" w:eastAsia="es-ES"/>
        </w:rPr>
        <w:t>15.1 párrafo 1 LTAIPBG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rPr>
          <w:rFonts w:cs="Calibri"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  <w:r w:rsidRPr="008874AC">
        <w:rPr>
          <w:rFonts w:cs="Calibri"/>
          <w:color w:val="000000"/>
          <w:sz w:val="22"/>
          <w:szCs w:val="22"/>
          <w:lang w:val="es-ES" w:eastAsia="es-ES"/>
        </w:rPr>
        <w:t xml:space="preserve">El artículo 15.1 primer párrafo de la Ley 19/2013, de 9 de diciembre, </w:t>
      </w:r>
      <w:r w:rsidRPr="008874AC">
        <w:rPr>
          <w:rFonts w:cs="Calibri"/>
          <w:sz w:val="22"/>
          <w:szCs w:val="22"/>
          <w:lang w:val="es-ES"/>
        </w:rPr>
        <w:t>de transparencia, acceso a la información pública y buen gobierno,</w:t>
      </w:r>
      <w:r w:rsidRPr="008874AC">
        <w:rPr>
          <w:rFonts w:cs="Calibri"/>
          <w:color w:val="000000"/>
          <w:sz w:val="22"/>
          <w:szCs w:val="22"/>
          <w:lang w:val="es-ES" w:eastAsia="es-ES"/>
        </w:rPr>
        <w:t xml:space="preserve"> establece que si la información solicitada contuviera datos personales que revelen la ideología, afiliación sindical, religión o creencias, el acceso únicamente se podrá autorizar en caso de que se contase con el consentimiento expreso y por escrito del afectado, a menos que dicho afectado hubiese hecho manifiestamente públicos los datos con anterioridad a que se solicitase el acceso.</w:t>
      </w: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 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B0F0"/>
          <w:sz w:val="22"/>
          <w:szCs w:val="22"/>
          <w:lang w:val="es-ES" w:eastAsia="es-ES"/>
        </w:rPr>
      </w:pP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En el presente supuesto, y toda vez que el afectado no ha hecho públicos tales datos con anterioridad a solicitarse el acceso a los mismos, se procedió a instar su consentimiento expreso y por escrito favorable a dicho acceso, mediante oficio que le fue notificado con fecha </w:t>
      </w:r>
      <w:r w:rsidRPr="00634BBC">
        <w:rPr>
          <w:rFonts w:cs="Calibri"/>
          <w:color w:val="00B0F0"/>
          <w:sz w:val="22"/>
          <w:szCs w:val="22"/>
          <w:lang w:val="es-ES" w:eastAsia="es-ES"/>
        </w:rPr>
        <w:t>…………………………….. .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center"/>
        <w:rPr>
          <w:rFonts w:cs="Calibri"/>
          <w:bCs/>
          <w:color w:val="000000"/>
          <w:sz w:val="22"/>
          <w:szCs w:val="22"/>
          <w:u w:val="single"/>
          <w:lang w:val="es-ES" w:eastAsia="es-ES"/>
        </w:rPr>
      </w:pPr>
      <w:r w:rsidRPr="00634BBC">
        <w:rPr>
          <w:rFonts w:cs="Calibri"/>
          <w:bCs/>
          <w:color w:val="000000"/>
          <w:sz w:val="22"/>
          <w:szCs w:val="22"/>
          <w:u w:val="single"/>
          <w:lang w:val="es-ES" w:eastAsia="es-ES"/>
        </w:rPr>
        <w:t>B.1: Contestación del afectado oponiéndose.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rPr>
          <w:rFonts w:cs="Calibri"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  <w:r w:rsidRPr="00634BBC">
        <w:rPr>
          <w:rFonts w:cs="Calibri"/>
          <w:color w:val="000000"/>
          <w:sz w:val="22"/>
          <w:szCs w:val="22"/>
          <w:lang w:val="es-ES" w:eastAsia="es-ES"/>
        </w:rPr>
        <w:t>Mediante escrito de… (Especificar),</w:t>
      </w:r>
      <w:r w:rsidRPr="00634BBC">
        <w:rPr>
          <w:rFonts w:cs="Calibri"/>
          <w:b/>
          <w:bCs/>
          <w:i/>
          <w:iCs/>
          <w:color w:val="000000"/>
          <w:sz w:val="22"/>
          <w:szCs w:val="22"/>
          <w:lang w:val="es-ES" w:eastAsia="es-ES"/>
        </w:rPr>
        <w:t xml:space="preserve"> </w:t>
      </w: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que tuvo entrada en este órgano el día </w:t>
      </w:r>
      <w:r w:rsidRPr="00634BBC">
        <w:rPr>
          <w:rFonts w:cs="Calibri"/>
          <w:color w:val="00B0F0"/>
          <w:sz w:val="22"/>
          <w:szCs w:val="22"/>
          <w:lang w:val="es-ES" w:eastAsia="es-ES"/>
        </w:rPr>
        <w:t xml:space="preserve">-- de ------- de ----, </w:t>
      </w:r>
      <w:r w:rsidRPr="00634BBC">
        <w:rPr>
          <w:rFonts w:cs="Calibri"/>
          <w:color w:val="000000"/>
          <w:sz w:val="22"/>
          <w:szCs w:val="22"/>
          <w:lang w:val="es-ES" w:eastAsia="es-ES"/>
        </w:rPr>
        <w:t>el afectado se ha opuesto a que el acceso a las categorías especiales de datos anteriormente identificados tenga lugar. En consecuencia, procede denegar el acceso a tales datos.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rPr>
          <w:rFonts w:cs="Calibri"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center"/>
        <w:rPr>
          <w:rFonts w:cs="Calibri"/>
          <w:bCs/>
          <w:color w:val="000000"/>
          <w:sz w:val="22"/>
          <w:szCs w:val="22"/>
          <w:u w:val="single"/>
          <w:lang w:val="es-ES" w:eastAsia="es-ES"/>
        </w:rPr>
      </w:pPr>
      <w:r w:rsidRPr="00634BBC">
        <w:rPr>
          <w:rFonts w:cs="Calibri"/>
          <w:bCs/>
          <w:color w:val="000000"/>
          <w:sz w:val="22"/>
          <w:szCs w:val="22"/>
          <w:u w:val="single"/>
          <w:lang w:val="es-ES" w:eastAsia="es-ES"/>
        </w:rPr>
        <w:t>B.2: No hay contestación.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b/>
          <w:bCs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No habiéndose obtenido contestación del afectado, procede denegar el acceso a la información solicitada. 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rPr>
          <w:rFonts w:cs="Calibri"/>
          <w:b/>
          <w:bCs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widowControl w:val="0"/>
        <w:spacing w:before="120" w:after="120"/>
        <w:jc w:val="center"/>
        <w:rPr>
          <w:rFonts w:cs="Calibri"/>
          <w:sz w:val="22"/>
          <w:szCs w:val="22"/>
          <w:u w:val="single"/>
          <w:lang w:val="es-ES"/>
        </w:rPr>
      </w:pPr>
      <w:r w:rsidRPr="00634BBC">
        <w:rPr>
          <w:rFonts w:cs="Calibri"/>
          <w:sz w:val="22"/>
          <w:szCs w:val="22"/>
          <w:u w:val="single"/>
          <w:lang w:val="es-ES"/>
        </w:rPr>
        <w:t xml:space="preserve">OPCIÓN C) </w:t>
      </w:r>
      <w:r>
        <w:rPr>
          <w:rFonts w:cs="Calibri"/>
          <w:color w:val="000000"/>
          <w:sz w:val="22"/>
          <w:szCs w:val="22"/>
          <w:u w:val="single"/>
          <w:lang w:val="es-ES" w:eastAsia="es-ES"/>
        </w:rPr>
        <w:t xml:space="preserve">Categorías especiales de datos y otros datos del </w:t>
      </w:r>
      <w:r w:rsidRPr="00634BBC">
        <w:rPr>
          <w:rFonts w:cs="Calibri"/>
          <w:sz w:val="22"/>
          <w:szCs w:val="22"/>
          <w:u w:val="single"/>
          <w:lang w:val="es-ES"/>
        </w:rPr>
        <w:t>art. 15.1 p</w:t>
      </w:r>
      <w:r>
        <w:rPr>
          <w:rFonts w:cs="Calibri"/>
          <w:sz w:val="22"/>
          <w:szCs w:val="22"/>
          <w:u w:val="single"/>
          <w:lang w:val="es-ES"/>
        </w:rPr>
        <w:t>árrafo</w:t>
      </w:r>
      <w:r w:rsidRPr="00634BBC">
        <w:rPr>
          <w:rFonts w:cs="Calibri"/>
          <w:sz w:val="22"/>
          <w:szCs w:val="22"/>
          <w:u w:val="single"/>
          <w:lang w:val="es-ES"/>
        </w:rPr>
        <w:t xml:space="preserve"> 2 </w:t>
      </w:r>
      <w:r>
        <w:rPr>
          <w:rFonts w:cs="Calibri"/>
          <w:color w:val="000000"/>
          <w:sz w:val="22"/>
          <w:szCs w:val="22"/>
          <w:u w:val="single"/>
          <w:lang w:val="es-ES" w:eastAsia="es-ES"/>
        </w:rPr>
        <w:t>LTAIPBG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center"/>
        <w:rPr>
          <w:rFonts w:cs="Calibri"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  <w:r w:rsidRPr="008874AC">
        <w:rPr>
          <w:rFonts w:cs="Calibri"/>
          <w:color w:val="000000"/>
          <w:sz w:val="22"/>
          <w:szCs w:val="22"/>
          <w:lang w:val="es-ES" w:eastAsia="es-ES"/>
        </w:rPr>
        <w:t xml:space="preserve">El artículo 15.1 segundo párrafo de la Ley 19/2013, de 9 de diciembre, </w:t>
      </w:r>
      <w:r w:rsidRPr="008874AC">
        <w:rPr>
          <w:rFonts w:cs="Calibri"/>
          <w:sz w:val="22"/>
          <w:szCs w:val="22"/>
          <w:lang w:val="es-ES"/>
        </w:rPr>
        <w:t>de transparencia, acceso a la información pública y buen gobierno,</w:t>
      </w:r>
      <w:r w:rsidRPr="008874AC">
        <w:rPr>
          <w:rFonts w:cs="Calibri"/>
          <w:color w:val="000000"/>
          <w:sz w:val="22"/>
          <w:szCs w:val="22"/>
          <w:lang w:val="es-ES" w:eastAsia="es-ES"/>
        </w:rPr>
        <w:t xml:space="preserve"> establece que si la información incluyese datos personales que hagan referencia al origen racial, a la salud o a la vida sexual, incluyese datos genéticos o biométricos o contuviera datos relativos a la comisión de infracciones penales o administrativas que no conllevasen la amonestación pública al infractor, el acceso sólo se podrá autorizar en caso de que se cuente con el consentimiento expreso del afectado o si aquel estuviera amparado por una norma con rango de ley.</w:t>
      </w: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 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  <w:r w:rsidRPr="00634BBC">
        <w:rPr>
          <w:rFonts w:cs="Calibri"/>
          <w:color w:val="000000"/>
          <w:sz w:val="22"/>
          <w:szCs w:val="22"/>
          <w:lang w:val="es-ES" w:eastAsia="es-ES"/>
        </w:rPr>
        <w:t>En el presente supuesto, y toda vez que el acceso a los datos solicitados no está amparado por una norma con rango de ley, se ha instado el consentimiento expreso y por escrito del afectado favorable a dicho acceso, mediante oficio que le fue notificado con fecha</w:t>
      </w:r>
      <w:proofErr w:type="gramStart"/>
      <w:r w:rsidRPr="00634BBC">
        <w:rPr>
          <w:rFonts w:cs="Calibri"/>
          <w:color w:val="000000"/>
          <w:sz w:val="22"/>
          <w:szCs w:val="22"/>
          <w:lang w:val="es-ES" w:eastAsia="es-ES"/>
        </w:rPr>
        <w:t>….</w:t>
      </w:r>
      <w:proofErr w:type="gramEnd"/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 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center"/>
        <w:rPr>
          <w:rFonts w:cs="Calibri"/>
          <w:bCs/>
          <w:color w:val="000000"/>
          <w:sz w:val="22"/>
          <w:szCs w:val="22"/>
          <w:u w:val="single"/>
          <w:lang w:val="es-ES" w:eastAsia="es-ES"/>
        </w:rPr>
      </w:pPr>
      <w:r w:rsidRPr="00634BBC">
        <w:rPr>
          <w:rFonts w:cs="Calibri"/>
          <w:bCs/>
          <w:color w:val="000000"/>
          <w:sz w:val="22"/>
          <w:szCs w:val="22"/>
          <w:u w:val="single"/>
          <w:lang w:val="es-ES" w:eastAsia="es-ES"/>
        </w:rPr>
        <w:t>C.1: Contestación del afectado oponiéndose.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rPr>
          <w:rFonts w:cs="Calibri"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Mediante escrito </w:t>
      </w:r>
      <w:proofErr w:type="gramStart"/>
      <w:r w:rsidRPr="00634BBC">
        <w:rPr>
          <w:rFonts w:cs="Calibri"/>
          <w:color w:val="000000"/>
          <w:sz w:val="22"/>
          <w:szCs w:val="22"/>
          <w:lang w:val="es-ES" w:eastAsia="es-ES"/>
        </w:rPr>
        <w:t>de …</w:t>
      </w:r>
      <w:proofErr w:type="gramEnd"/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 (especificar),</w:t>
      </w:r>
      <w:r w:rsidRPr="00634BBC">
        <w:rPr>
          <w:rFonts w:cs="Calibri"/>
          <w:b/>
          <w:bCs/>
          <w:i/>
          <w:iCs/>
          <w:color w:val="000000"/>
          <w:sz w:val="22"/>
          <w:szCs w:val="22"/>
          <w:lang w:val="es-ES" w:eastAsia="es-ES"/>
        </w:rPr>
        <w:t xml:space="preserve"> </w:t>
      </w: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que tuvo entrada en este órgano el día -- de ------- de ----, el afectado se ha opuesto a que el acceso </w:t>
      </w:r>
      <w:r w:rsidRPr="008874AC">
        <w:rPr>
          <w:rFonts w:cs="Calibri"/>
          <w:color w:val="000000"/>
          <w:sz w:val="22"/>
          <w:szCs w:val="22"/>
          <w:lang w:val="es-ES" w:eastAsia="es-ES"/>
        </w:rPr>
        <w:t>a los datos</w:t>
      </w: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 anteriormente identificados tenga lugar. En consecuencia, procede denegar el acceso a tales datos.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rPr>
          <w:rFonts w:cs="Calibri"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center"/>
        <w:rPr>
          <w:rFonts w:cs="Calibri"/>
          <w:bCs/>
          <w:color w:val="000000"/>
          <w:sz w:val="22"/>
          <w:szCs w:val="22"/>
          <w:u w:val="single"/>
          <w:lang w:val="es-ES" w:eastAsia="es-ES"/>
        </w:rPr>
      </w:pPr>
      <w:r w:rsidRPr="00634BBC">
        <w:rPr>
          <w:rFonts w:cs="Calibri"/>
          <w:bCs/>
          <w:color w:val="000000"/>
          <w:sz w:val="22"/>
          <w:szCs w:val="22"/>
          <w:u w:val="single"/>
          <w:lang w:val="es-ES" w:eastAsia="es-ES"/>
        </w:rPr>
        <w:t>C.2: No hay contestación.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b/>
          <w:bCs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  <w:r w:rsidRPr="00634BBC">
        <w:rPr>
          <w:rFonts w:cs="Calibri"/>
          <w:color w:val="000000"/>
          <w:sz w:val="22"/>
          <w:szCs w:val="22"/>
          <w:lang w:val="es-ES" w:eastAsia="es-ES"/>
        </w:rPr>
        <w:t xml:space="preserve">No habiéndose obtenido contestación del afectado, procede denegar el acceso a la información solicitada. </w:t>
      </w: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  <w:lang w:val="es-ES" w:eastAsia="es-ES"/>
        </w:rPr>
      </w:pPr>
    </w:p>
    <w:p w:rsidR="00F735FA" w:rsidRPr="00634BBC" w:rsidRDefault="00F735FA" w:rsidP="00F735FA">
      <w:pPr>
        <w:widowControl w:val="0"/>
        <w:spacing w:before="120" w:after="120"/>
        <w:jc w:val="center"/>
        <w:rPr>
          <w:rFonts w:cs="Calibri"/>
          <w:sz w:val="22"/>
          <w:szCs w:val="22"/>
          <w:u w:val="single"/>
          <w:lang w:val="es-ES"/>
        </w:rPr>
      </w:pPr>
      <w:r w:rsidRPr="00634BBC">
        <w:rPr>
          <w:rFonts w:cs="Calibri"/>
          <w:sz w:val="22"/>
          <w:szCs w:val="22"/>
          <w:u w:val="single"/>
          <w:lang w:val="es-ES"/>
        </w:rPr>
        <w:t>COMÚN A TODAS LAS OPCIONES ANTERIORES</w:t>
      </w: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  <w:r w:rsidRPr="00634BBC">
        <w:rPr>
          <w:rFonts w:cs="Calibri"/>
          <w:sz w:val="22"/>
          <w:szCs w:val="22"/>
          <w:lang w:val="es-ES"/>
        </w:rPr>
        <w:t xml:space="preserve">Por lo expuesto, visto el informe-propuesta elaborado por ------------------------en el que, una vez analizada la solicitud, se propone denegar el acceso a la información pública solicitada por -----------------------------, y atendiendo a las competencias atribuidas a esta Consejería por la normativa aplicable, </w:t>
      </w: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</w:p>
    <w:p w:rsidR="00F735FA" w:rsidRPr="00634BBC" w:rsidRDefault="00F735FA" w:rsidP="00F735FA">
      <w:pPr>
        <w:autoSpaceDE w:val="0"/>
        <w:autoSpaceDN w:val="0"/>
        <w:adjustRightInd w:val="0"/>
        <w:spacing w:before="120" w:after="120"/>
        <w:jc w:val="center"/>
        <w:rPr>
          <w:rFonts w:cs="Calibri"/>
          <w:b/>
          <w:color w:val="000000"/>
          <w:sz w:val="22"/>
          <w:szCs w:val="22"/>
          <w:lang w:val="es-ES" w:eastAsia="es-ES"/>
        </w:rPr>
      </w:pPr>
      <w:r w:rsidRPr="00634BBC">
        <w:rPr>
          <w:rFonts w:cs="Calibri"/>
          <w:b/>
          <w:color w:val="000000"/>
          <w:sz w:val="22"/>
          <w:szCs w:val="22"/>
          <w:lang w:val="es-ES" w:eastAsia="es-ES"/>
        </w:rPr>
        <w:t>D I S P O N G O</w:t>
      </w: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  <w:r w:rsidRPr="00634BBC">
        <w:rPr>
          <w:rFonts w:cs="Calibri"/>
          <w:b/>
          <w:sz w:val="22"/>
          <w:szCs w:val="22"/>
          <w:lang w:val="es-ES"/>
        </w:rPr>
        <w:t>Primero.-</w:t>
      </w:r>
      <w:r w:rsidRPr="00634BBC">
        <w:rPr>
          <w:rFonts w:cs="Calibri"/>
          <w:sz w:val="22"/>
          <w:szCs w:val="22"/>
          <w:lang w:val="es-ES"/>
        </w:rPr>
        <w:t xml:space="preserve"> Denegar el acceso a la información pública solicitado </w:t>
      </w:r>
      <w:r w:rsidRPr="00634BBC">
        <w:rPr>
          <w:rFonts w:cs="Calibri"/>
          <w:color w:val="00B0F0"/>
          <w:sz w:val="22"/>
          <w:szCs w:val="22"/>
          <w:lang w:val="es-ES"/>
        </w:rPr>
        <w:t>por</w:t>
      </w:r>
      <w:proofErr w:type="gramStart"/>
      <w:r w:rsidRPr="00634BBC">
        <w:rPr>
          <w:rFonts w:cs="Calibri"/>
          <w:color w:val="00B0F0"/>
          <w:sz w:val="22"/>
          <w:szCs w:val="22"/>
          <w:lang w:val="es-ES"/>
        </w:rPr>
        <w:t>……………….…</w:t>
      </w:r>
      <w:proofErr w:type="gramEnd"/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  <w:r w:rsidRPr="00634BBC">
        <w:rPr>
          <w:rFonts w:cs="Calibri"/>
          <w:b/>
          <w:sz w:val="22"/>
          <w:szCs w:val="22"/>
          <w:lang w:val="es-ES"/>
        </w:rPr>
        <w:t>Segundo.-</w:t>
      </w:r>
      <w:r w:rsidRPr="00634BBC">
        <w:rPr>
          <w:rFonts w:cs="Calibri"/>
          <w:sz w:val="22"/>
          <w:szCs w:val="22"/>
          <w:lang w:val="es-ES"/>
        </w:rPr>
        <w:t xml:space="preserve"> Notifíquese la presente orden al interesado haciéndole saber que contra la misma, que agota la vía administrativa, cabe interponer con carácter potestativo y previo a su impugnación en vía contencioso-administrativa, reclamación ante el Consejo de la Transparencia de la Región de Murcia en el plazo de un mes a contar desde el día siguiente al de su notificación, de conformidad con el artículo 28 de la Ley 12/2014, de 16 de diciembre, de Transparencia y Participación Ciudadana de la Comunidad Autónoma de la Región de Murcia, o, alternativamente, recurso contencioso-administrativo ante la Sala de lo Contencioso-Administrativo del Tribunal Superior de Justicia de Murcia, en el plazo de dos meses a contar desde el día siguiente al de su notificación, de conformidad con lo dispuesto por el artículo 10.1.a), en relación con el 46, de la Ley 29/1998, de 13 de julio, reguladora de la jurisdicción contencioso-administrativa.</w:t>
      </w:r>
    </w:p>
    <w:p w:rsidR="00F735FA" w:rsidRPr="00634BBC" w:rsidRDefault="00F735FA" w:rsidP="00F735FA">
      <w:pPr>
        <w:widowControl w:val="0"/>
        <w:spacing w:before="120" w:after="120"/>
        <w:jc w:val="both"/>
        <w:rPr>
          <w:rFonts w:cs="Calibri"/>
          <w:sz w:val="22"/>
          <w:szCs w:val="22"/>
          <w:lang w:val="es-ES"/>
        </w:rPr>
      </w:pPr>
    </w:p>
    <w:p w:rsidR="00F735FA" w:rsidRPr="00634BBC" w:rsidRDefault="00F735FA" w:rsidP="00F735FA">
      <w:pPr>
        <w:widowControl w:val="0"/>
        <w:spacing w:before="120" w:after="120"/>
        <w:jc w:val="center"/>
        <w:rPr>
          <w:rFonts w:cs="Calibri"/>
          <w:sz w:val="22"/>
          <w:szCs w:val="22"/>
          <w:lang w:val="es-ES"/>
        </w:rPr>
      </w:pPr>
      <w:r w:rsidRPr="00634BBC">
        <w:rPr>
          <w:rFonts w:cs="Calibri"/>
          <w:sz w:val="22"/>
          <w:szCs w:val="22"/>
          <w:lang w:val="es-ES"/>
        </w:rPr>
        <w:t>EL/LA CONSEJERO/A</w:t>
      </w:r>
    </w:p>
    <w:p w:rsidR="00D742A6" w:rsidRDefault="00D742A6"/>
    <w:sectPr w:rsidR="00D74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FA"/>
    <w:rsid w:val="00C963D2"/>
    <w:rsid w:val="00D742A6"/>
    <w:rsid w:val="00F7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76316-EDCE-4CC9-80DA-45C281C4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5FA"/>
    <w:pPr>
      <w:spacing w:after="200" w:line="240" w:lineRule="auto"/>
    </w:pPr>
    <w:rPr>
      <w:rFonts w:eastAsia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autoRedefine/>
    <w:qFormat/>
    <w:rsid w:val="00F735FA"/>
    <w:pPr>
      <w:keepNext/>
      <w:spacing w:before="240" w:after="160"/>
      <w:jc w:val="both"/>
      <w:outlineLvl w:val="1"/>
    </w:pPr>
    <w:rPr>
      <w:rFonts w:cs="Arial"/>
      <w:b/>
      <w:bCs/>
      <w:i/>
      <w:iCs/>
      <w:color w:val="1E9A97"/>
      <w:sz w:val="36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35FA"/>
    <w:rPr>
      <w:rFonts w:eastAsia="Times New Roman" w:cs="Arial"/>
      <w:b/>
      <w:bCs/>
      <w:i/>
      <w:iCs/>
      <w:color w:val="1E9A97"/>
      <w:sz w:val="3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Modelo 14. Resolución de denegación art.15 (protección de datos personales).</vt:lpstr>
    </vt:vector>
  </TitlesOfParts>
  <Company>C.A.R.M.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FELIPE, ISABEL</dc:creator>
  <cp:keywords/>
  <dc:description/>
  <cp:lastModifiedBy>ANDREU FELIPE, ISABEL</cp:lastModifiedBy>
  <cp:revision>1</cp:revision>
  <dcterms:created xsi:type="dcterms:W3CDTF">2019-02-25T16:59:00Z</dcterms:created>
  <dcterms:modified xsi:type="dcterms:W3CDTF">2019-02-25T17:00:00Z</dcterms:modified>
</cp:coreProperties>
</file>